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2482B970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87D78">
        <w:rPr>
          <w:rFonts w:ascii="Corbel" w:hAnsi="Corbel"/>
          <w:b/>
          <w:smallCaps/>
          <w:sz w:val="24"/>
          <w:szCs w:val="24"/>
        </w:rPr>
        <w:t>2022-2024</w:t>
      </w:r>
    </w:p>
    <w:p w14:paraId="137E922A" w14:textId="6B541C2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B87D78">
        <w:rPr>
          <w:rFonts w:ascii="Corbel" w:hAnsi="Corbel"/>
          <w:sz w:val="20"/>
          <w:szCs w:val="20"/>
        </w:rPr>
        <w:t>3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B87D7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783A66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/II/</w:t>
            </w: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RiA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280B0553" w:rsidR="0085747A" w:rsidRPr="009C54AE" w:rsidRDefault="009B4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5CA1AA3" w:rsidR="00015B8F" w:rsidRPr="009C54AE" w:rsidRDefault="007C68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lastRenderedPageBreak/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</w:t>
            </w:r>
            <w:proofErr w:type="spellStart"/>
            <w:r w:rsidRPr="00D22221">
              <w:rPr>
                <w:rFonts w:ascii="Corbel" w:hAnsi="Corbel"/>
                <w:sz w:val="24"/>
                <w:szCs w:val="24"/>
              </w:rPr>
              <w:t>Allais</w:t>
            </w:r>
            <w:proofErr w:type="spellEnd"/>
            <w:r w:rsidRPr="00D22221">
              <w:rPr>
                <w:rFonts w:ascii="Corbel" w:hAnsi="Corbel"/>
                <w:sz w:val="24"/>
                <w:szCs w:val="24"/>
              </w:rPr>
              <w:t xml:space="preserve">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leksograficzna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rozpoznania, mniej znaczy więcej,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tallying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>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</w:t>
            </w:r>
            <w:proofErr w:type="spellStart"/>
            <w:r w:rsidR="00710FCF" w:rsidRPr="00710FCF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Proces zarządzania ryzykiem (Ryzyko operacyjne i podejście procesowe do zarządzania ryzykiem - Cykl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Zarządzanie ryzykiem według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COSO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7E3CD81" w:rsidR="0085747A" w:rsidRPr="009C54AE" w:rsidRDefault="007C6872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07981582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687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Kaczmarek T.,  Zarządzanie ryzykiem. Ujęcie interdyscyplinarne., </w:t>
            </w:r>
            <w:proofErr w:type="spellStart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Monkiewicz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Gąsiorkiewicz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N., Czarny Łabędź. O skutkach nieprzewidywalnych zdarzeń., </w:t>
            </w: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17388" w14:textId="77777777" w:rsidR="00C20D06" w:rsidRDefault="00C20D06" w:rsidP="00C16ABF">
      <w:pPr>
        <w:spacing w:after="0" w:line="240" w:lineRule="auto"/>
      </w:pPr>
      <w:r>
        <w:separator/>
      </w:r>
    </w:p>
  </w:endnote>
  <w:endnote w:type="continuationSeparator" w:id="0">
    <w:p w14:paraId="6C4E0E25" w14:textId="77777777" w:rsidR="00C20D06" w:rsidRDefault="00C20D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23FB9" w14:textId="77777777" w:rsidR="00C20D06" w:rsidRDefault="00C20D06" w:rsidP="00C16ABF">
      <w:pPr>
        <w:spacing w:after="0" w:line="240" w:lineRule="auto"/>
      </w:pPr>
      <w:r>
        <w:separator/>
      </w:r>
    </w:p>
  </w:footnote>
  <w:footnote w:type="continuationSeparator" w:id="0">
    <w:p w14:paraId="2A684A42" w14:textId="77777777" w:rsidR="00C20D06" w:rsidRDefault="00C20D0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3A1"/>
    <w:rsid w:val="001D657B"/>
    <w:rsid w:val="001D7B54"/>
    <w:rsid w:val="001E0209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A66"/>
    <w:rsid w:val="00787C2A"/>
    <w:rsid w:val="00790E27"/>
    <w:rsid w:val="007A4022"/>
    <w:rsid w:val="007A6E6E"/>
    <w:rsid w:val="007C3299"/>
    <w:rsid w:val="007C3BCC"/>
    <w:rsid w:val="007C4546"/>
    <w:rsid w:val="007C687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C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4F5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D7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D06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44A4C-0F3C-440C-BC16-165DB224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1317</Words>
  <Characters>7902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2020-12-28T16:55:00Z</dcterms:created>
  <dcterms:modified xsi:type="dcterms:W3CDTF">2022-02-11T10:43:00Z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